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2C66" w14:textId="24612F41" w:rsidR="4E5F56D4" w:rsidRPr="00DE72AD" w:rsidRDefault="4E5F56D4" w:rsidP="00DE72AD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DE72AD">
        <w:rPr>
          <w:rFonts w:ascii="Arial" w:eastAsia="Calibri" w:hAnsi="Arial" w:cs="Arial"/>
          <w:b/>
          <w:sz w:val="28"/>
          <w:szCs w:val="28"/>
          <w:u w:val="single"/>
        </w:rPr>
        <w:t>Teamindelingsbeleid:</w:t>
      </w:r>
    </w:p>
    <w:p w14:paraId="01B40203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  <w:color w:val="212121"/>
        </w:rPr>
      </w:pPr>
    </w:p>
    <w:p w14:paraId="1F4DD892" w14:textId="190FE8BD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 xml:space="preserve">Aan het einde van ieder seizoen wordt door de technische commissie, in overleg met de trainers/coaches, de voorlopige teamindeling voor het volgende seizoen bepaald. </w:t>
      </w:r>
    </w:p>
    <w:p w14:paraId="71BDE189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  <w:color w:val="212121"/>
        </w:rPr>
      </w:pPr>
    </w:p>
    <w:p w14:paraId="727E0743" w14:textId="32E62B8B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 xml:space="preserve">De voorlopige teamindeling moet worden goedgekeurd door het bestuur voordat deze definitief wordt. </w:t>
      </w:r>
    </w:p>
    <w:p w14:paraId="1C824AAC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  <w:color w:val="212121"/>
        </w:rPr>
      </w:pPr>
    </w:p>
    <w:p w14:paraId="0F71B89D" w14:textId="12AE0B31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 xml:space="preserve">De voorlopige teamindeling wordt via de mail bekend </w:t>
      </w:r>
      <w:proofErr w:type="gramStart"/>
      <w:r w:rsidRPr="00DE72AD">
        <w:rPr>
          <w:rFonts w:ascii="Arial" w:eastAsia="Segoe UI" w:hAnsi="Arial" w:cs="Arial"/>
          <w:color w:val="212121"/>
        </w:rPr>
        <w:t>gemaakt  aan</w:t>
      </w:r>
      <w:proofErr w:type="gramEnd"/>
      <w:r w:rsidRPr="00DE72AD">
        <w:rPr>
          <w:rFonts w:ascii="Arial" w:eastAsia="Segoe UI" w:hAnsi="Arial" w:cs="Arial"/>
          <w:color w:val="212121"/>
        </w:rPr>
        <w:t xml:space="preserve"> de leden waarna zij, indien gewenst via de mail kunnen reageren (naar de TC ). </w:t>
      </w:r>
    </w:p>
    <w:p w14:paraId="4D77634D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  <w:color w:val="212121"/>
        </w:rPr>
      </w:pPr>
    </w:p>
    <w:p w14:paraId="4305398E" w14:textId="46EBD9E0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>De TC zal vervolgens contact opnemen met het betreffende lid e/o team.    De teamindeling zal voor de zomervakantie definitief bekendgemaakt en gepubliceerd worden.</w:t>
      </w:r>
    </w:p>
    <w:p w14:paraId="7829715D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  <w:color w:val="212121"/>
        </w:rPr>
      </w:pPr>
    </w:p>
    <w:p w14:paraId="57CDF6A2" w14:textId="20EBEF23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>Indien er ingrijpende veranderingen zullen plaatsvinden zal de TC vooraf in contact treden met het team of teamlid</w:t>
      </w:r>
      <w:r w:rsidR="00DE72AD">
        <w:rPr>
          <w:rFonts w:ascii="Arial" w:eastAsia="Segoe UI" w:hAnsi="Arial" w:cs="Arial"/>
          <w:color w:val="212121"/>
        </w:rPr>
        <w:t>.</w:t>
      </w:r>
    </w:p>
    <w:p w14:paraId="68EEE84E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  <w:color w:val="212121"/>
        </w:rPr>
      </w:pPr>
    </w:p>
    <w:p w14:paraId="3204DD22" w14:textId="4BC5FB4D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 xml:space="preserve">Inventarisatie formulieren voor het volgende seizoen worden in maart door de secretaris digitaal naar de leden verzonden.  </w:t>
      </w:r>
    </w:p>
    <w:p w14:paraId="0A95D13F" w14:textId="69AED12E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  <w:color w:val="212121"/>
        </w:rPr>
        <w:t>Deze moeten op een nader te bepalen (bestuur-TC) datum in april ingevuld retour zijn.</w:t>
      </w:r>
    </w:p>
    <w:p w14:paraId="57D85442" w14:textId="2E05E129" w:rsidR="4E5F56D4" w:rsidRPr="00DE72AD" w:rsidRDefault="4E5F56D4" w:rsidP="00DE72AD">
      <w:pPr>
        <w:spacing w:after="0" w:line="240" w:lineRule="auto"/>
        <w:rPr>
          <w:rFonts w:ascii="Arial" w:eastAsia="Segoe UI" w:hAnsi="Arial" w:cs="Arial"/>
        </w:rPr>
      </w:pPr>
    </w:p>
    <w:p w14:paraId="1C1B8238" w14:textId="15E46F47" w:rsidR="4E5F56D4" w:rsidRDefault="4E5F56D4" w:rsidP="00DE72AD">
      <w:pPr>
        <w:spacing w:after="0" w:line="240" w:lineRule="auto"/>
        <w:rPr>
          <w:rFonts w:ascii="Arial" w:eastAsia="Segoe UI" w:hAnsi="Arial" w:cs="Arial"/>
        </w:rPr>
      </w:pPr>
      <w:r w:rsidRPr="00DE72AD">
        <w:rPr>
          <w:rFonts w:ascii="Arial" w:eastAsia="Segoe UI" w:hAnsi="Arial" w:cs="Arial"/>
        </w:rPr>
        <w:t>Bij het bepalen van de teamindeling wordt er met de volgende punten rekening gehouden:</w:t>
      </w:r>
    </w:p>
    <w:p w14:paraId="179672DB" w14:textId="77777777" w:rsidR="00DE72AD" w:rsidRPr="00DE72AD" w:rsidRDefault="00DE72AD" w:rsidP="00DE72AD">
      <w:pPr>
        <w:spacing w:after="0" w:line="240" w:lineRule="auto"/>
        <w:rPr>
          <w:rFonts w:ascii="Arial" w:eastAsia="Segoe UI" w:hAnsi="Arial" w:cs="Arial"/>
        </w:rPr>
      </w:pPr>
    </w:p>
    <w:p w14:paraId="2483D656" w14:textId="101535C6" w:rsidR="4E5F56D4" w:rsidRPr="00DE72AD" w:rsidRDefault="4E5F56D4" w:rsidP="00DE72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>Spelers worden ingedeeld op speelsterkte</w:t>
      </w:r>
      <w:r w:rsidR="00DE72AD">
        <w:rPr>
          <w:rFonts w:ascii="Arial" w:eastAsia="Segoe UI" w:hAnsi="Arial" w:cs="Arial"/>
        </w:rPr>
        <w:t>.</w:t>
      </w:r>
    </w:p>
    <w:p w14:paraId="0F22E494" w14:textId="227D9362" w:rsidR="4E5F56D4" w:rsidRPr="00DE72AD" w:rsidRDefault="4E5F56D4" w:rsidP="00DE72AD">
      <w:pPr>
        <w:spacing w:after="0" w:line="240" w:lineRule="auto"/>
        <w:rPr>
          <w:rFonts w:ascii="Arial" w:eastAsia="Segoe UI" w:hAnsi="Arial" w:cs="Arial"/>
        </w:rPr>
      </w:pPr>
      <w:r w:rsidRPr="00DE72AD">
        <w:rPr>
          <w:rFonts w:ascii="Arial" w:eastAsia="Segoe UI" w:hAnsi="Arial" w:cs="Arial"/>
        </w:rPr>
        <w:t xml:space="preserve"> </w:t>
      </w:r>
    </w:p>
    <w:p w14:paraId="440F8CF4" w14:textId="2E8A70C6" w:rsidR="4E5F56D4" w:rsidRPr="00DE72AD" w:rsidRDefault="4E5F56D4" w:rsidP="00DE72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 xml:space="preserve">Er wordt gestreefd naar een evenwichtige samenstelling van de teams waarbij het </w:t>
      </w:r>
      <w:proofErr w:type="gramStart"/>
      <w:r w:rsidRPr="00DE72AD">
        <w:rPr>
          <w:rFonts w:ascii="Arial" w:eastAsia="Segoe UI" w:hAnsi="Arial" w:cs="Arial"/>
        </w:rPr>
        <w:t>eerste</w:t>
      </w:r>
      <w:proofErr w:type="gramEnd"/>
      <w:r w:rsidRPr="00DE72AD">
        <w:rPr>
          <w:rFonts w:ascii="Arial" w:eastAsia="Segoe UI" w:hAnsi="Arial" w:cs="Arial"/>
        </w:rPr>
        <w:t xml:space="preserve"> heren en het eerste damesteam wordt aangemerkt als selectieteam. Hierbij wordt niet alleen gekeken naar capaciteiten, maar ook naar inzet en potentiële groei mogelijkheden van de spelers</w:t>
      </w:r>
      <w:r w:rsidR="00DE72AD">
        <w:rPr>
          <w:rFonts w:ascii="Arial" w:eastAsia="Segoe UI" w:hAnsi="Arial" w:cs="Arial"/>
        </w:rPr>
        <w:t>.</w:t>
      </w:r>
    </w:p>
    <w:p w14:paraId="4C323A76" w14:textId="22036D90" w:rsidR="4E5F56D4" w:rsidRPr="00DE72AD" w:rsidRDefault="4E5F56D4" w:rsidP="00DE72AD">
      <w:pPr>
        <w:spacing w:after="0" w:line="240" w:lineRule="auto"/>
        <w:ind w:left="360"/>
        <w:rPr>
          <w:rFonts w:ascii="Arial" w:eastAsia="Segoe UI" w:hAnsi="Arial" w:cs="Arial"/>
        </w:rPr>
      </w:pPr>
    </w:p>
    <w:p w14:paraId="0686C3DB" w14:textId="0564D783" w:rsidR="4E5F56D4" w:rsidRPr="00DE72AD" w:rsidRDefault="4E5F56D4" w:rsidP="00DE72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>Het streven is dat elk team uit minimaal 8 personen bestaat</w:t>
      </w:r>
      <w:r w:rsidRPr="00DE72AD">
        <w:rPr>
          <w:rFonts w:ascii="Arial" w:eastAsia="Calibri" w:hAnsi="Arial" w:cs="Arial"/>
        </w:rPr>
        <w:t>.</w:t>
      </w:r>
    </w:p>
    <w:p w14:paraId="4896D1DB" w14:textId="14E0DE4A" w:rsidR="4E5F56D4" w:rsidRPr="00DE72AD" w:rsidRDefault="4E5F56D4" w:rsidP="00DE72AD">
      <w:pPr>
        <w:spacing w:after="0" w:line="240" w:lineRule="auto"/>
        <w:ind w:left="360"/>
        <w:rPr>
          <w:rFonts w:ascii="Arial" w:eastAsia="Calibri" w:hAnsi="Arial" w:cs="Arial"/>
        </w:rPr>
      </w:pPr>
    </w:p>
    <w:p w14:paraId="387F1174" w14:textId="1509EB83" w:rsidR="4E5F56D4" w:rsidRPr="00DE72AD" w:rsidRDefault="4E5F56D4" w:rsidP="00DE72AD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>De technische commissie bepaalt in overleg met de trainers en de jeugdcommissie het niveau van de jeugdspelers.</w:t>
      </w:r>
    </w:p>
    <w:p w14:paraId="3B75342D" w14:textId="53AEFEC8" w:rsidR="4E5F56D4" w:rsidRPr="00DE72AD" w:rsidRDefault="4E5F56D4" w:rsidP="00DE72AD">
      <w:pPr>
        <w:spacing w:after="0" w:line="240" w:lineRule="auto"/>
        <w:ind w:left="360"/>
        <w:rPr>
          <w:rFonts w:ascii="Arial" w:eastAsia="Segoe UI" w:hAnsi="Arial" w:cs="Arial"/>
        </w:rPr>
      </w:pPr>
    </w:p>
    <w:p w14:paraId="225F0566" w14:textId="19ADD031" w:rsidR="4E5F56D4" w:rsidRPr="00DE72AD" w:rsidRDefault="00DE72AD" w:rsidP="00DE72A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>D</w:t>
      </w:r>
      <w:r w:rsidR="4E5F56D4" w:rsidRPr="00DE72AD">
        <w:rPr>
          <w:rFonts w:ascii="Arial" w:eastAsia="Segoe UI" w:hAnsi="Arial" w:cs="Arial"/>
        </w:rPr>
        <w:t>e technische commissie zal getalenteerde jeugdleden regelmatig de mogelijkheid bieden om mee te trainen, mee te spelen of in te vallen met hogere teams. Dit vindt plaats na overleg met trainer/coach van het jeugdteam en de trainer/coach van het hogere team.</w:t>
      </w:r>
    </w:p>
    <w:p w14:paraId="4629413E" w14:textId="6DD6CD6E" w:rsidR="4E5F56D4" w:rsidRPr="00DE72AD" w:rsidRDefault="4E5F56D4" w:rsidP="00DE72AD">
      <w:pPr>
        <w:pStyle w:val="Lijstalinea"/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 xml:space="preserve"> </w:t>
      </w:r>
    </w:p>
    <w:p w14:paraId="78578CFA" w14:textId="64EE587B" w:rsidR="4E5F56D4" w:rsidRPr="00DE72AD" w:rsidRDefault="4E5F56D4" w:rsidP="00DE72A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72AD">
        <w:rPr>
          <w:rFonts w:ascii="Arial" w:eastAsia="Segoe UI" w:hAnsi="Arial" w:cs="Arial"/>
        </w:rPr>
        <w:t>Nieuwe leden of herintredende leden worden door de technische commissie ingepast op basis van waargenomen speelsterkte. De speelsterkte wordt bepaald op basis van ervaring van de desbetreffende speler of na</w:t>
      </w:r>
      <w:r w:rsidR="00DE72AD">
        <w:rPr>
          <w:rFonts w:ascii="Arial" w:eastAsia="Segoe UI" w:hAnsi="Arial" w:cs="Arial"/>
        </w:rPr>
        <w:t>ar</w:t>
      </w:r>
      <w:r w:rsidRPr="00DE72AD">
        <w:rPr>
          <w:rFonts w:ascii="Arial" w:eastAsia="Segoe UI" w:hAnsi="Arial" w:cs="Arial"/>
        </w:rPr>
        <w:t xml:space="preserve"> aanleiding van één of meerdere trainingen.</w:t>
      </w:r>
    </w:p>
    <w:p w14:paraId="3AA46B11" w14:textId="64894B82" w:rsidR="4E5F56D4" w:rsidRPr="00DE72AD" w:rsidRDefault="4E5F56D4" w:rsidP="00DE72AD">
      <w:pPr>
        <w:spacing w:after="0" w:line="240" w:lineRule="auto"/>
        <w:rPr>
          <w:rFonts w:ascii="Arial" w:eastAsia="Segoe UI" w:hAnsi="Arial" w:cs="Arial"/>
        </w:rPr>
      </w:pPr>
    </w:p>
    <w:p w14:paraId="144912ED" w14:textId="050FB1C4" w:rsidR="4E5F56D4" w:rsidRPr="00DE72AD" w:rsidRDefault="4E5F56D4" w:rsidP="00DE72AD">
      <w:pPr>
        <w:spacing w:after="0" w:line="240" w:lineRule="auto"/>
        <w:rPr>
          <w:rFonts w:ascii="Arial" w:hAnsi="Arial" w:cs="Arial"/>
        </w:rPr>
      </w:pPr>
    </w:p>
    <w:sectPr w:rsidR="4E5F56D4" w:rsidRPr="00DE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53E5"/>
    <w:multiLevelType w:val="hybridMultilevel"/>
    <w:tmpl w:val="68E6B07C"/>
    <w:lvl w:ilvl="0" w:tplc="2C8E9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61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25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F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B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EC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E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AE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5E3A"/>
    <w:multiLevelType w:val="hybridMultilevel"/>
    <w:tmpl w:val="52EA3EE0"/>
    <w:lvl w:ilvl="0" w:tplc="7E16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C2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0E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6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22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D9BDD0"/>
    <w:rsid w:val="00BB3789"/>
    <w:rsid w:val="00DE72AD"/>
    <w:rsid w:val="0CD9BDD0"/>
    <w:rsid w:val="4E5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DD0"/>
  <w15:docId w15:val="{F8885956-D981-4F48-901D-3A1500A5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E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renken</dc:creator>
  <cp:lastModifiedBy>Bas Hartog</cp:lastModifiedBy>
  <cp:revision>2</cp:revision>
  <dcterms:created xsi:type="dcterms:W3CDTF">2019-03-18T18:41:00Z</dcterms:created>
  <dcterms:modified xsi:type="dcterms:W3CDTF">2019-03-18T18:41:00Z</dcterms:modified>
</cp:coreProperties>
</file>